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NW_34387 (Nordrhein-Westfalen)</w:t>
      </w:r>
    </w:p>
    <w:p>
      <w:r>
        <w:rPr>
          <w:color w:val="555555"/>
          <w:sz w:val="18"/>
        </w:rPr>
        <w:t xml:space="preserve">Verordnung über die Übertragung von Ermächtigungen auf das Ministerium der Finanzen zum Erlass von Rechtsverordnungen zur elektronischen Aktenführung in Ordnungswidrigkeitsverfahren und Strafverfahren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April 2025</w:t>
      </w:r>
    </w:p>
    <w:p>
      <w:r>
        <w:t xml:space="preserve">Auf Grund</w:t>
      </w:r>
    </w:p>
    <w:p>
      <w:r>
        <w:t xml:space="preserve">- des § 32 Absatz 1 Satz 4, Absatz 1a Satz 4 und Absatz 2 Satz 2 der Strafprozeßordnung in der Fassung der Bekanntmachung vom 7. April 1987 (BGBl. I S. 1074, 1319), die zuletzt durch Artikel 2 Absatz 1 des Gesetzes vom 7. November 2024 (BGBl. 2024 I Nr. 351) geändert worden ist,</w:t>
      </w:r>
    </w:p>
    <w:p>
      <w:r>
        <w:t xml:space="preserve">- des § 15 Absatz 2 Satz 4 des Einführungsgesetzes zur Strafprozeßordnung in der im Bundesgesetzblatt Teil III, Gliedernummer 312-1, veröffentlichten bereinigten Fassung, das zuletzt durch Artikel 4 des Gesetzes vom 12. Juli 2024 (BGBl. 2024 I Nr. 234) geändert worden ist,</w:t>
      </w:r>
    </w:p>
    <w:p>
      <w:r>
        <w:t xml:space="preserve">- und des § 110a Absatz 1 Satz 4, Absatz 1a Satz 4, Absatz 1c Satz 4 und Absatz 2 Satz 2 des Gesetzes über Ordnungswidrigkeiten in der Fassung der Bekanntmachung vom 19. Februar 1987 (BGBl. I S. 602), das zuletzt durch Artikel 10 des Gesetzes vom 12. Juli 2024 (BGBl. 2024 I Nr. 234) geändert worden ist,</w:t>
      </w:r>
    </w:p>
    <w:p>
      <w:r>
        <w:t xml:space="preserve">verordnet die Landesregierung:</w:t>
      </w:r>
    </w:p>
    <w:p>
      <w:r>
        <w:rPr>
          <w:color w:val="555555"/>
          <w:sz w:val="17"/>
        </w:rPr>
        <w:t xml:space="preserve">Zitiervorschlag: Eingangsformel NW_34387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https://recht.nulegal.eu/gesetze/NW_34387/eingangsformel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