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NW_34387 (Nordrhein-Westfalen)</w:t>
      </w:r>
    </w:p>
    <w:p>
      <w:r>
        <w:rPr>
          <w:color w:val="555555"/>
          <w:sz w:val="18"/>
        </w:rPr>
        <w:t xml:space="preserve">Verordnung über die Übertragung von Ermächtigungen auf das Ministerium der Finanzen zum Erlass von Rechtsverordnungen zur elektronischen Aktenführung in Ordnungswidrigkeitsverfahren und Strafverfahren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2 NW_34387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https://recht.nulegal.eu/gesetze/NW_34387/2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