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NW_34375 (Nordrhein-Westfalen)</w:t>
      </w:r>
    </w:p>
    <w:p>
      <w:r>
        <w:rPr>
          <w:color w:val="555555"/>
          <w:sz w:val="18"/>
        </w:rPr>
        <w:t xml:space="preserve">Verordnung über die Rangstelle von Erbbaurechten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8. April 2025</w:t>
      </w:r>
    </w:p>
    <w:p>
      <w:r>
        <w:t xml:space="preserve">Auf Grund des § 10 Absatz 2 des Erbbaurechtsgesetzes in der im Bundesgesetzblatt Teil III, Gliederungsnummer 403-6, veröffentlichten bereinigten Fassung, das zuletzt durch Artikel 4 Absatz 7 des Gesetzes vom 1. Oktober 2013 (BGBl. I S. 3719) geändert worden ist, verordnet die Landesregierung:</w:t>
      </w:r>
    </w:p>
    <w:p>
      <w:r>
        <w:rPr>
          <w:color w:val="555555"/>
          <w:sz w:val="17"/>
        </w:rPr>
        <w:t xml:space="preserve">Zitiervorschlag: Volltext NW_34375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https://recht.nulegal.eu/gesetze/NW_34375/volltext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