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NW_34375 (Nordrhein-Westfalen) — Inkrafttreten</w:t>
      </w:r>
    </w:p>
    <w:p>
      <w:r>
        <w:rPr>
          <w:color w:val="555555"/>
          <w:sz w:val="18"/>
        </w:rPr>
        <w:t xml:space="preserve">Verordnung über die Rangstelle von Erbbaurechten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Mai 2025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der Justiz</w:t>
      </w:r>
    </w:p>
    <w:p>
      <w:r>
        <w:t xml:space="preserve">Für die Ministerin für Kultur und Wissenschaft</w:t>
      </w:r>
    </w:p>
    <w:p>
      <w:r>
        <w:t xml:space="preserve">Die Ministerin für Schule und Bildung</w:t>
      </w:r>
    </w:p>
    <w:p>
      <w:r>
        <w:rPr>
          <w:color w:val="555555"/>
          <w:sz w:val="17"/>
        </w:rPr>
        <w:t xml:space="preserve">Zitiervorschlag: § 4 NW_34375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https://recht.nulegal.eu/gesetze/NW_34375/4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