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NW_34352 (Nordrhein-Westfalen)</w:t>
      </w:r>
    </w:p>
    <w:p>
      <w:r>
        <w:rPr>
          <w:color w:val="555555"/>
          <w:sz w:val="18"/>
        </w:rPr>
        <w:t xml:space="preserve">Commercial-Court- und Commercial-Chambers-Verordnung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April 2025</w:t>
      </w:r>
    </w:p>
    <w:p>
      <w:r>
        <w:t xml:space="preserve">Auf Grund der</w:t>
      </w:r>
    </w:p>
    <w:p>
      <w:r>
        <w:t xml:space="preserve">- § 13a Absatz 1 Satz 1 und 2, § 119b Absatz 1, 3 und 5, § 184a Absatz 1 und 2 Satz 1 des Gerichtsverfassungsgesetzes in der Fassung der Bekanntmachung vom 9. Mai 1975 (BGBl. I S. 1077), das zuletzt durch Artikel 14 des Gesetzes vom 27. Dezember 2024 (BGBl. 2024 I Nr. 438) geändert worden ist, in Verbindung mit</w:t>
      </w:r>
    </w:p>
    <w:p>
      <w:r>
        <w:t xml:space="preserve">- § 1 Absatz 2 Satz 1 des Justizgesetzes Nordrhein-Westfalen vom 26. Januar 2010 (GV. NRW. S. 30), das zuletzt durch Gesetz vom 10. Dezember 2024 (GV. NRW. S. 1207) geändert worden ist,</w:t>
      </w:r>
    </w:p>
    <w:p>
      <w:r>
        <w:t xml:space="preserve">verordnet das Ministerium der Justiz:</w:t>
      </w:r>
    </w:p>
    <w:p>
      <w:r>
        <w:rPr>
          <w:color w:val="555555"/>
          <w:sz w:val="17"/>
        </w:rPr>
        <w:t xml:space="preserve">Zitiervorschlag: Volltext NW_34352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https://recht.nulegal.eu/gesetze/NW_34352/volltext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