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NW_34352 (Nordrhein-Westfalen) — Commercial Court</w:t>
      </w:r>
    </w:p>
    <w:p>
      <w:r>
        <w:rPr>
          <w:color w:val="555555"/>
          <w:sz w:val="18"/>
        </w:rPr>
        <w:t xml:space="preserve">Commercial-Court- und Commercial-Chambers-Verordnung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Commercial Court gemäß § 119b des Gerichtsverfassungsgesetzes in der Fassung der Bekanntmachung vom 9. Mai 1975 (BGBl. I S. 1077), das zuletzt durch Artikel 14 des Gesetzes vom 27. Dezember 2024 (BGBl. 2024 I Nr. 438) geändert worden ist, im Folgenden GVG, wird bei dem Oberlandesgericht Düsseldorf eingerichtet.</w:t>
      </w:r>
    </w:p>
    <w:p>
      <w:r>
        <w:t xml:space="preserve">(2) Die Zuständigkeit des Commercial Courts ist eröffnet für folgende Streitigkeiten mit einem Streitwert ab 500 000 Euro:</w:t>
      </w:r>
    </w:p>
    <w:p>
      <w:r>
        <w:t xml:space="preserve">1. Bürgerliche Rechtsstreitigkeiten zwischen Unternehmern im Sinne des § 14 des Bürgerlichen Gesetzbuchs mit Ausnahme von solchen auf dem Gebiet des gewerblichen Rechtsschutzes, des Urheberrechts sowie über Ansprüche nach dem Gesetz gegen den unlauteren Wettbewerb (§ 119b Absatz 1 Satz 1 Nummer 1 GVG)</w:t>
      </w:r>
    </w:p>
    <w:p>
      <w:r>
        <w:t xml:space="preserve">a) aus Bau- und Architektenverträgen sowie aus Ingenieurverträgen, soweit sie im Zusammenhang mit Bauleistungen stehen,</w:t>
      </w:r>
    </w:p>
    <w:p>
      <w:r>
        <w:t xml:space="preserve">b) aus Versicherungsvertragsverhältnissen, insbesondere soweit sie Vermögensschadenhaftpflichtversicherungen (D&amp;O-Versicherungen) zum Gegenstand haben,</w:t>
      </w:r>
    </w:p>
    <w:p>
      <w:r>
        <w:t xml:space="preserve">und</w:t>
      </w:r>
    </w:p>
    <w:p>
      <w:r>
        <w:t xml:space="preserve">c) aus gesellschaftsrechtlichen Angelegenheiten,</w:t>
      </w:r>
    </w:p>
    <w:p>
      <w:r>
        <w:t xml:space="preserve">2. Streitigkeiten aus oder im Zusammenhang mit dem Erwerb eines Unternehmens oder von Anteilen an einem Unternehmen (§ 119b Absatz 1 Satz 1 Nummer 2 GVG) und</w:t>
      </w:r>
    </w:p>
    <w:p>
      <w:r>
        <w:t xml:space="preserve">3. Streitigkeiten zwischen Gesellschaft und Mitgliedern des Leitungsorgans oder Aufsichtsrats (§ 119b Absatz 1 Satz 1 Nummer 3 GVG).</w:t>
      </w:r>
    </w:p>
    <w:p>
      <w:r>
        <w:t xml:space="preserve">Nicht erfasst von Satz 1 sind Streitigkeiten über die Wirksamkeit oder Rechtmäßigkeit von Beschlüssen von Gesellschaftern oder Gesellschaftsorganen, Verfahren nach § 71 Absatz 2 Nummer 4 GVG oder nach § 375 des Gesetzes über Verfahren in Familiensachen und in den Angelegenheiten der freiwilligen Gerichtsbarkeit vom 17. Dezember 2008 (BGBl. I S. 2586, 2587), das zuletzt durch Artikel 15 des Gesetzes vom 27. Dezember 2024 (BGBl. 2024 I Nr. 438) geändert worden ist.</w:t>
      </w:r>
    </w:p>
    <w:p>
      <w:r>
        <w:t xml:space="preserve">(3) Die Verfahren vor dem Commercial Court können vollständig in englischer Sprache geführt werden.</w:t>
      </w:r>
    </w:p>
    <w:p>
      <w:r>
        <w:rPr>
          <w:color w:val="555555"/>
          <w:sz w:val="17"/>
        </w:rPr>
        <w:t xml:space="preserve">Zitiervorschlag: § 1 NW_34352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https://recht.nulegal.eu/gesetze/NW_34352/1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