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NW_34342 (Nordrhein-Westfalen) — Prüfungsunterlagen</w:t>
      </w:r>
    </w:p>
    <w:p>
      <w:r>
        <w:rPr>
          <w:color w:val="555555"/>
          <w:sz w:val="18"/>
        </w:rPr>
        <w:t xml:space="preserve">StrBetrManBAProPONRW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ist der zu prüfenden Person binnen der gesetzlich vorgegebenen Frist zur Einlegung eines Rechtsbehelfs Einsicht in ihre Prüfungsunterlagen zu gewähren. Die schriftlichen Prüfungsarbeiten sind ein Jahr, die Niederschriften gemäß § 23 Absatz 1 15 Jahre, aufzubewahren. Die Aufbewahrungsfrist beginnt mit dem Zugang des Prüfungsbescheids nach § 24 Absatz 1 beziehungsweise § 25 Absatz 1. Der Ablauf der vorgenannten Fristen wird durch das Einlegen eines Rechtsmittels gehemmt.</w:t>
      </w:r>
    </w:p>
    <w:p>
      <w:r>
        <w:t xml:space="preserve">(2) Die Aufbewahrung kann auch elektronisch erfolgen. Landesrechtliche Vorschriften zur Archivierung bleiben unberührt.</w:t>
      </w:r>
    </w:p>
    <w:p>
      <w:r>
        <w:rPr>
          <w:color w:val="555555"/>
          <w:sz w:val="17"/>
        </w:rPr>
        <w:t xml:space="preserve">Zitiervorschlag: § 28 NW_34342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