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NW_34342 (Nordrhein-Westfalen) — Prüfungsgebühr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Prüfungen sind gebührenpflichtig.</w:t>
      </w:r>
    </w:p>
    <w:p>
      <w:r>
        <w:t xml:space="preserve">(2) Für die Durchführung von Prüfungen werden jeweils Gebühren nach Maßgabe der von der zuständigen Stelle getroffenen Gebührenregelungen erhoben und vereinnahmt.</w:t>
      </w:r>
    </w:p>
    <w:p>
      <w:r>
        <w:t xml:space="preserve">(3) Für die Prüfungen ist die zu prüfenden Personen selbst Gebührenschuldner. Die Gebühren sind nach Maßgabe der Gebührenregelung der zuständigen Stelle zu entrichten.</w:t>
      </w:r>
    </w:p>
    <w:p>
      <w:r>
        <w:t xml:space="preserve">Dritter Abschnitt:</w:t>
      </w:r>
    </w:p>
    <w:p>
      <w:r>
        <w:t xml:space="preserve">Durchführung der Fortbildungsprüfung</w:t>
      </w:r>
    </w:p>
    <w:p>
      <w:r>
        <w:rPr>
          <w:color w:val="555555"/>
          <w:sz w:val="17"/>
        </w:rPr>
        <w:t xml:space="preserve">Zitiervorschlag: § 11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