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NW_34295 (Nordrhein-Westfalen) — Inkrafttreten, Außerkrafttreten</w:t>
      </w:r>
    </w:p>
    <w:p>
      <w:r>
        <w:rPr>
          <w:color w:val="555555"/>
          <w:sz w:val="18"/>
        </w:rPr>
        <w:t xml:space="preserve">Verordnung über den Betrieb von Forschungsinformationssystemen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 Gleichzeitig tritt die Verordnung über den Betrieb von Forschungsinformationssystemen vom 19. August 2020 (GV. NRW. S. 759) außer Kraft.</w:t>
      </w:r>
    </w:p>
    <w:p>
      <w:r>
        <w:t xml:space="preserve">Die Ministerin</w:t>
      </w:r>
    </w:p>
    <w:p>
      <w:r>
        <w:t xml:space="preserve">für Kultur und Wissenschaft</w:t>
      </w:r>
    </w:p>
    <w:p>
      <w:r>
        <w:t xml:space="preserve">des Landes Nordrhein-Westfalens</w:t>
      </w:r>
    </w:p>
    <w:p>
      <w:r>
        <w:rPr>
          <w:color w:val="555555"/>
          <w:sz w:val="17"/>
        </w:rPr>
        <w:t xml:space="preserve">Zitiervorschlag: § 6 NW_34295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https://recht.nulegal.eu/gesetze/NW_34295/6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