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NW_34295 (Nordrhein-Westfalen) — Löschung personenbezogener Daten</w:t>
      </w:r>
    </w:p>
    <w:p>
      <w:r>
        <w:rPr>
          <w:color w:val="555555"/>
          <w:sz w:val="18"/>
        </w:rPr>
        <w:t xml:space="preserve">Verordnung über den Betrieb von Forschungsinformationssystemen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Personenbezogene Daten sind zu löschen, wenn ihre weitere Verarbeitung für die Erfüllung der Aufgaben gemäß § 1 nicht mehr erforderlich ist. Hierzu sind in den Forschungsinformationssystemen entsprechende Routinen zur Löschung personenbezogener Daten zu implementieren.</w:t>
      </w:r>
    </w:p>
    <w:p>
      <w:r>
        <w:rPr>
          <w:color w:val="555555"/>
          <w:sz w:val="17"/>
        </w:rPr>
        <w:t xml:space="preserve">Zitiervorschlag: § 5 NW_34295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https://recht.nulegal.eu/gesetze/NW_34295/5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