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NW_34292 (Nordrhein-Westfalen) — Mindestbetrag der Umlage</w:t>
      </w:r>
    </w:p>
    <w:p>
      <w:r>
        <w:rPr>
          <w:color w:val="555555"/>
          <w:sz w:val="18"/>
        </w:rPr>
        <w:t xml:space="preserve">Verordnung über die Festsetzung der Umlage der Landwirtschaftskammer Nordrhein-Westfalen für das Haushaltsjahr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Umlage von Betrieben der Land- und Forstwirtschaft wird nicht erhoben, wenn sie den Mindestbetrag von 12,00 Euro unterschreitet.</w:t>
      </w:r>
    </w:p>
    <w:p>
      <w:r>
        <w:rPr>
          <w:color w:val="555555"/>
          <w:sz w:val="17"/>
        </w:rPr>
        <w:t xml:space="preserve">Zitiervorschlag: § 2 NW_34292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