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NW_34239 (Nordrhein-Westfalen) — Beamtenverhältnisse</w:t>
      </w:r>
    </w:p>
    <w:p>
      <w:r>
        <w:rPr>
          <w:color w:val="555555"/>
          <w:sz w:val="18"/>
        </w:rPr>
        <w:t xml:space="preserve">Gesetz zur Neuaufstellung der Hochschule für Gesundheit in Bochum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Hinsichtlich des Übertritts der Beamtinnen und Beamten der aufgenommenen Hochschule zur Hochschule für Technik, Wirtschaft und Gesundheit Bochum gelten die allgemeinen dienstrechtlichen Vorschriften.</w:t>
      </w:r>
    </w:p>
    <w:p>
      <w:r>
        <w:rPr>
          <w:color w:val="555555"/>
          <w:sz w:val="17"/>
        </w:rPr>
        <w:t xml:space="preserve">Zitiervorschlag: § 13 NW_34239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https://recht.nulegal.eu/gesetze/NW_34239/13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