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NW_34233 (Nordrhein-Westfalen)</w:t>
      </w:r>
    </w:p>
    <w:p>
      <w:r>
        <w:rPr>
          <w:color w:val="555555"/>
          <w:sz w:val="18"/>
        </w:rPr>
        <w:t xml:space="preserve">Betreuungsrecht-Belastungsausgleichsverordnung -BtR-BelAVO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4. Dezember 2024</w:t>
      </w:r>
    </w:p>
    <w:p>
      <w:r>
        <w:t xml:space="preserve">Auf Grund des § 6 Nummer 2 des Landesbetreuungsgesetzes vom 3. April 1992 (GV. NRW. S. 124), das zuletzt durch Artikel 12 des Gesetzes vom 19. Dezember 2023 (GV. NRW. S. 1431) geändert worden ist, verordnet das Ministerium für Arbeit, Gesundheit und Soziales:</w:t>
      </w:r>
    </w:p>
    <w:p>
      <w:r>
        <w:rPr>
          <w:color w:val="555555"/>
          <w:sz w:val="17"/>
        </w:rPr>
        <w:t xml:space="preserve">Zitiervorschlag: Volltext NW_34233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https://recht.nulegal.eu/gesetze/NW_34233/volltext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NW_34233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