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NW_34233 (Nordrhein-Westfalen) — Inkrafttreten, Evaluation</w:t>
      </w:r>
    </w:p>
    <w:p>
      <w:r>
        <w:rPr>
          <w:color w:val="555555"/>
          <w:sz w:val="18"/>
        </w:rPr>
        <w:t xml:space="preserve">Betreuungsrecht-Belastungsausgleichsverordnung -BtR-BelAVO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2025 in Kraft.</w:t>
      </w:r>
    </w:p>
    <w:p>
      <w:r>
        <w:t xml:space="preserve">(2) Über eine mögliche Anpassung der in dieser Verordnung festgelegten Belastungsausgleiche wird aufgrund der nach § 7 Absatz 3 des Landesbetreuungsgesetzes vorzunehmenden Evaluation entschieden.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NW_34233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https://recht.nulegal.eu/gesetze/NW_34233/4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