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NW_34227 (Nordrhein-Westfalen)</w:t>
      </w:r>
    </w:p>
    <w:p>
      <w:r>
        <w:rPr>
          <w:color w:val="555555"/>
          <w:sz w:val="18"/>
        </w:rPr>
        <w:t xml:space="preserve">Gesetz über eine barrierefreie Notrufnummer 112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Gesetz über eine barrierefreie Notrufnummer 112 in Nordrhein-Westfalen zur Umsetzung der Richtlinie (EU) 2019/882 des Europäischen</w:t>
      </w:r>
    </w:p>
    <w:p>
      <w:r>
        <w:t xml:space="preserve">Parlaments und des Rates vom 17. April 2019 über die Barrierefreiheitsanforderungen für Produkte und Dienstleistungen</w:t>
      </w:r>
    </w:p>
    <w:p>
      <w:r>
        <w:t xml:space="preserve">(Gesetz über eine barrierefreie Notrufnummer 112 NRW)</w:t>
      </w:r>
    </w:p>
    <w:p>
      <w:r>
        <w:t xml:space="preserve">Vom 10. Dezember 2024</w:t>
      </w:r>
    </w:p>
    <w:p>
      <w:r>
        <w:rPr>
          <w:color w:val="555555"/>
          <w:sz w:val="17"/>
        </w:rPr>
        <w:t xml:space="preserve">Zitiervorschlag: Volltext NW_34227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https://recht.nulegal.eu/gesetze/NW_34227/volltext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