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NW_34227 (Nordrhein-Westfalen) — Inkrafttreten</w:t>
      </w:r>
    </w:p>
    <w:p>
      <w:r>
        <w:rPr>
          <w:color w:val="555555"/>
          <w:sz w:val="18"/>
        </w:rPr>
        <w:t xml:space="preserve">Gesetz über eine barrierefreie Notrufnummer 112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Für den Minister der Finanzen</w:t>
      </w:r>
    </w:p>
    <w:p>
      <w:r>
        <w:t xml:space="preserve">Die Ministerin für Landwirtschaft und Verbraucherschutz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t xml:space="preserve">Die Ministerin für Heimat, Kommunales, Bau und Digitalisierung</w:t>
      </w:r>
    </w:p>
    <w:p>
      <w:r>
        <w:rPr>
          <w:color w:val="555555"/>
          <w:sz w:val="17"/>
        </w:rPr>
        <w:t xml:space="preserve">Zitiervorschlag: § 2 NW_34227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https://recht.nulegal.eu/gesetze/NW_34227/2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