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NW_34206 (Nordrhein-Westfalen) — Inkrafttreten</w:t>
      </w:r>
    </w:p>
    <w:p>
      <w:r>
        <w:rPr>
          <w:color w:val="555555"/>
          <w:sz w:val="18"/>
        </w:rPr>
        <w:t xml:space="preserve">BAGJHVO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 Verordnung tritt vorbehaltlich des Absatzes 2 am Tag nach der Verkündung in Kraft.</w:t>
      </w:r>
    </w:p>
    <w:p>
      <w:r>
        <w:t xml:space="preserve">(2) § 3 tritt am 1. August 2025 in Kraft.</w:t>
      </w:r>
    </w:p>
    <w:p>
      <w:r>
        <w:rPr>
          <w:color w:val="555555"/>
          <w:sz w:val="17"/>
        </w:rPr>
        <w:t xml:space="preserve">Zitiervorschlag: § 4 NW_34206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https://recht.nulegal.eu/gesetze/NW_34206/4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