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NW_34171 (Nordrhein-Westfalen)</w:t>
      </w:r>
    </w:p>
    <w:p>
      <w:r>
        <w:rPr>
          <w:color w:val="555555"/>
          <w:sz w:val="18"/>
        </w:rPr>
        <w:t xml:space="preserve">HinSchG-VO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24. September 2024</w:t>
      </w:r>
    </w:p>
    <w:p>
      <w:r>
        <w:t xml:space="preserve">Auf Grund des § 36 Absatz 2 Satz 2 des Gesetzes über Ordnungswidrigkeiten in der Fassung der Bekanntmachung vom 19. Februar 1987 (BGBl. I S. 602), das zuletzt durch Artikel 5 des Gesetzes vom 14. März 2023 (BGBl. 2023 I Nr. 73) geändert worden ist, in Verbindung mit § 1 Absatz 2 Satz 1 des Justizgesetzes Nordrhein-Westfalen vom 26. Januar 2010 (GV. NRW. S. 30), das zuletzt durch Artikel 1 des Gesetzes vom 6. Dezember 2022 (GV. NRW. S. 1072) geändert worden ist, verordnet das Ministerium der Justiz:</w:t>
      </w:r>
    </w:p>
    <w:p>
      <w:r>
        <w:rPr>
          <w:color w:val="555555"/>
          <w:sz w:val="17"/>
        </w:rPr>
        <w:t xml:space="preserve">Zitiervorschlag: Volltext NW_34171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https://recht.nulegal.eu/gesetze/NW_34171/volltext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