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NW_34158 (Nordrhein-Westfalen) — Allgemeine Bestimmungen</w:t>
      </w:r>
    </w:p>
    <w:p>
      <w:r>
        <w:rPr>
          <w:color w:val="555555"/>
          <w:sz w:val="18"/>
        </w:rPr>
        <w:t xml:space="preserve">MI-Satzung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Verpflichtung eines Medienintermediärs gemäß § 94 Abs. 1 MStV umfasst auch abgrenzbare Teile und Beiträge eines journalistisch-redaktionellen Angebotes.</w:t>
      </w:r>
    </w:p>
    <w:p>
      <w:r>
        <w:t xml:space="preserve">(2) Bei der Feststellung eines besonders hohen Einflusses im Sinne des § 94 Abs. 1 MStV ist der Einfluss des Medienintermediärs auf die Wahrnehmbarkeit von journalistisch-redaktionellen Inhalten im Rahmen des Meinungsbildungsprozesses maßgeblich. Bei der Beurteilung kann insbesondere berücksichtigt werden,</w:t>
      </w:r>
    </w:p>
    <w:p>
      <w:r>
        <w:t xml:space="preserve">1. die Stellung des Medienintermediärs in den jeweils relevanten Märkten;</w:t>
      </w:r>
    </w:p>
    <w:p>
      <w:r>
        <w:t xml:space="preserve">2. eine Gesamtschau der Nutzung, etwa anhand der zur Verfügung stehenden Nutzungsreichweiten, Nutzerzahlen, Verweildauer und Aktivität der Nutzer oder Anzahl der Views je Nutzer.</w:t>
      </w:r>
    </w:p>
    <w:p>
      <w:r>
        <w:rPr>
          <w:color w:val="555555"/>
          <w:sz w:val="17"/>
        </w:rPr>
        <w:t xml:space="preserve">Zitiervorschlag: § 7 NW_34158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https://recht.nulegal.eu/gesetze/NW_34158/7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