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NW_34158 (Nordrhein-Westfalen) — Auskunft und Vorlage von Unterlagen</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Überprüfung eines möglichen Verstoßes ist der Anbieter eines Medienintermediärs verpflichtet, alle erforderlichen Auskünfte zu erteilen, Informationen bereitzustellen und Unterlagen vorzulegen. Die zuständige Landesmedienanstalt kann insbesondere</w:t>
      </w:r>
    </w:p>
    <w:p>
      <w:r>
        <w:t xml:space="preserve">1. die Vorlage sämtlicher Dokumentationen fordern, die die Kriterien im Sinne von § 93 Abs. 1 Nr. 1 MStV bzw. die zentralen Kriterien und deren Gewichtung sowie die Funktionsweise der eingesetzten Algorithmen im Sinne von § 93 Abs. 1 Nr. 2 MStV belegen;</w:t>
      </w:r>
    </w:p>
    <w:p>
      <w:r>
        <w:t xml:space="preserve">2. die mit der Festlegung, technischen Umsetzung und Änderung der Kriterien im Sinne von § 93 Abs. 1 Nr. 1 MStV bzw. zentralen Kriterien und deren Gewichtung sowie der eingesetzten Algorithmen im Sinne von § 93 Abs. 1 Nr. 2 MStV befassten Mitarbeiter des Anbieters des Medienintermediärs als Zeugen vernehmen;</w:t>
      </w:r>
    </w:p>
    <w:p>
      <w:r>
        <w:t xml:space="preserve">3. eine eidesstattliche Versicherung des Anbieters des Medienintermediärs zu den nach § 93 Abs. 1 MStV und § 6 transparent zu machenden Informationen verlangen;</w:t>
      </w:r>
    </w:p>
    <w:p>
      <w:r>
        <w:t xml:space="preserve">4. die Vorlage vertraglicher Vereinbarungen, Zusagen oder sonstiger Verpflichtungen verlangen, die in sachlichem Zusammenhang zum Zugang und Verbleib von Inhalten zum Medienintermediär stehen, insbesondere soweit sie die Aufnahme, Darstellung und den Verbleib von journalistisch-redaktionellen Inhalten betreffen.</w:t>
      </w:r>
    </w:p>
    <w:p>
      <w:r>
        <w:t xml:space="preserve">(2) Bei Vorlage von Unterlagen nach Absatz 1 hat der Anbieter des Medienintermediärs diejenigen Teile der Unterlagen zu kennzeichnen, die Betriebs- oder Geschäftsgeheimnisse enthalten. In diesem Fall muss er zusätzlich eine Fassung vorlegen, die aus seiner Sicht ohne Preisgabe von Betriebs- oder Geschäftsgeheimnissen durch Dritte eingesehen werden kann. Erfolgt dies nicht, kann die Landesmedienanstalt von einer Zustimmung zur Einsicht ausgehen, es sei denn, ihr sind besondere Umstände bekannt, die eine solche Vermutung nicht rechtfertigen. Hält die Landesmedienanstalt die Kennzeichnung der Unterlagen als Betriebs- oder Geschäftsgeheimnisse für unberechtigt, so muss sie vor der Entscheidung über die Gewährung einer Einsichtnahme durch Dritte dem Anbieter Gelegenheit zur Stellungnahme geben.</w:t>
      </w:r>
    </w:p>
    <w:p>
      <w:r>
        <w:t xml:space="preserve">5. Abschnitt: Schlussbestimmungen</w:t>
      </w:r>
    </w:p>
    <w:p>
      <w:r>
        <w:rPr>
          <w:color w:val="555555"/>
          <w:sz w:val="17"/>
        </w:rPr>
        <w:t xml:space="preserve">Zitiervorschlag: § 13 NW_34158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https://recht.nulegal.eu/gesetze/NW_34158/13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