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NW_34158 (Nordrhein-Westfalen) — Verfahren Diskriminierungsverbot</w:t>
      </w:r>
    </w:p>
    <w:p>
      <w:r>
        <w:rPr>
          <w:color w:val="555555"/>
          <w:sz w:val="18"/>
        </w:rPr>
        <w:t xml:space="preserve">MI-Satzung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zuständige Landesmedienanstalt prüft durch die ZAK auf Grundlage einer Beschwerde oder in offensichtlichen Fällen von Amts wegen, ob der Anbieter eines Medienintermediärs die Bestimmungen des § 94 Abs. 1 und 2 MStV oder der §§ 8 und 9 verletzt.</w:t>
      </w:r>
    </w:p>
    <w:p>
      <w:r>
        <w:t xml:space="preserve">(2) Beschwerdeberechtigt im Sinne von § 94 Abs. 3 Satz 1 MStV sind</w:t>
      </w:r>
    </w:p>
    <w:p>
      <w:r>
        <w:t xml:space="preserve">1. Anbieter journalistisch-redaktioneller Inhalte und</w:t>
      </w:r>
    </w:p>
    <w:p>
      <w:r>
        <w:t xml:space="preserve">2. Anbieter von Medienplattformen und Benutzeroberflächen, soweit sie die Diskriminierung der von ihnen angebotenen Bündel journalistisch-redaktioneller Inhalte rügen.</w:t>
      </w:r>
    </w:p>
    <w:p>
      <w:r>
        <w:t xml:space="preserve">(3) Der Beschwerdeführer hat seine Beschwerde zu begründen. Hierzu sollen geeignete Nachweise vorlegt werden, aus denen sich hinreichende Anhaltspunkte für die behauptete Diskriminierung seiner journalistisch-redaktionellen Inhalte im Sinne von § 94 Abs. 2 MStV oder der §§ 8 und 9 ergeben. Insbesondere können vorgelegt werden</w:t>
      </w:r>
    </w:p>
    <w:p>
      <w:r>
        <w:t xml:space="preserve">1. Auswertungen der Auffindbarkeit eigener journalistisch-redaktioneller Inhalte im Medienintermediär und</w:t>
      </w:r>
    </w:p>
    <w:p>
      <w:r>
        <w:t xml:space="preserve">2. geeignete Studien.</w:t>
      </w:r>
    </w:p>
    <w:p>
      <w:r>
        <w:t xml:space="preserve">Daneben soll der Beschwerdeführer nach Möglichkeit geeignete Nachweise vorlegen, aus denen sich hinreichende Anhaltspunkte für den besonders hohen Einfluss des Medienintermediärs auf die Wahrnehmbarkeit von journalistisch-redaktionellen Inhalten im Sinne von § 94 Abs. 1 MStV ergeben.</w:t>
      </w:r>
    </w:p>
    <w:p>
      <w:r>
        <w:t xml:space="preserve">(4) Ein offensichtlicher Fall gemäß § 94 Abs. 3 Satz 2 MStV und Abs. 1 liegt vor, wenn der dem Verstoß gegen das Diskriminierungsverbot zu Grunde liegende Sachverhalt für Dritte klar erkennbar ist.</w:t>
      </w:r>
    </w:p>
    <w:p>
      <w:r>
        <w:rPr>
          <w:color w:val="555555"/>
          <w:sz w:val="17"/>
        </w:rPr>
        <w:t xml:space="preserve">Zitiervorschlag: § 11 NW_34158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https://recht.nulegal.eu/gesetze/NW_34158/11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