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NW_34158 (Nordrhein-Westfalen) — Zuständigkeit der ZAK</w:t>
      </w:r>
    </w:p>
    <w:p>
      <w:r>
        <w:rPr>
          <w:color w:val="555555"/>
          <w:sz w:val="18"/>
        </w:rPr>
        <w:t xml:space="preserve">MI-Satzung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im Rahmen dieser Satzung zu erfüllenden Aufgaben dient die Kommission für Zulassung und Aufsicht (ZAK) der zuständigen Landesmedienanstalt als Organ (§ 104 Abs. 2 Satz 1 Nr. 1, § 105 Abs. 1 Satz 1 Nr. 10 MStV in Verbindung mit der Geschäfts- und Verfahrensordnung der ZAK – GVO ZAK).</w:t>
      </w:r>
    </w:p>
    <w:p>
      <w:r>
        <w:t xml:space="preserve">(2) Die zuständige Landesmedienanstalt leitet Beschwerden nach § 11 unverzüglich über die Gemeinsame Geschäftsstelle an die ZAK weiter und informiert sie über Prüfungen von Amts wegen. Die ZAK führt die Verfahren bis zur Entscheidungsreife.</w:t>
      </w:r>
    </w:p>
    <w:p>
      <w:r>
        <w:rPr>
          <w:color w:val="555555"/>
          <w:sz w:val="17"/>
        </w:rPr>
        <w:t xml:space="preserve">Zitiervorschlag: § 10 NW_34158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https://recht.nulegal.eu/gesetze/NW_34158/10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