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NW_34158 (Nordrhein-Westfalen) — Zweck und Zielsetzung</w:t>
      </w:r>
    </w:p>
    <w:p>
      <w:r>
        <w:rPr>
          <w:color w:val="555555"/>
          <w:sz w:val="18"/>
        </w:rPr>
        <w:t xml:space="preserve">MI-Satzung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Satzung regelt gemäß § 96 MStV Einzelheiten zur inhaltlichen und verfahrensmäßigen Konkretisierung der gesetzlichen Vorschriften zur Regulierung von Medienintermediären und Anbietern von Medienintermediären (§§ 91 bis 95 MStV).</w:t>
      </w:r>
    </w:p>
    <w:p>
      <w:r>
        <w:t xml:space="preserve">(2) Diese Satzung dient der Sicherung der Meinungsvielfalt (Angebots- und Anbietervielfalt).</w:t>
      </w:r>
    </w:p>
    <w:p>
      <w:r>
        <w:t xml:space="preserve">(3) Die Orientierungsfunktion von Medienintermediären für die jeweiligen Nutzerkreise ist bei Anwendung dieser Satzung zu berücksichtigen.</w:t>
      </w:r>
    </w:p>
    <w:p>
      <w:r>
        <w:rPr>
          <w:color w:val="555555"/>
          <w:sz w:val="17"/>
        </w:rPr>
        <w:t xml:space="preserve">Zitiervorschlag: § 1 NW_34158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https://recht.nulegal.eu/gesetze/NW_34158/1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