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NW_34146 (Nordrhein-Westfalen)</w:t>
      </w:r>
    </w:p>
    <w:p>
      <w:r>
        <w:rPr>
          <w:color w:val="555555"/>
          <w:sz w:val="18"/>
        </w:rPr>
        <w:t xml:space="preserve">Verordnung zur Änderung der Zuständigkeit der Studierendenwerke gemäß § 1 Absatz 3 des Studierendenwerksgesetzes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29. August 2024</w:t>
      </w:r>
    </w:p>
    <w:p>
      <w:r>
        <w:t xml:space="preserve">Auf Grund des § 1 Absatz 4 des Studierendenwerksgesetzes vom 16. September 2014 (GV. NRW. S. 547), das durch Artikel 94 des Gesetzes vom 1. Februar 2022 (GV. NRW. S. 122) geändert worden ist, verordnet das Ministerium für Kultur und Wissenschaft im Einvernehmen mit dem Ministerium der Finanzen:</w:t>
      </w:r>
    </w:p>
    <w:p>
      <w:r>
        <w:rPr>
          <w:color w:val="555555"/>
          <w:sz w:val="17"/>
        </w:rPr>
        <w:t xml:space="preserve">Zitiervorschlag: Volltext NW_34146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https://recht.nulegal.eu/gesetze/NW_34146/volltext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