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NW_34146 (Nordrhein-Westfalen)</w:t>
      </w:r>
    </w:p>
    <w:p>
      <w:r>
        <w:rPr>
          <w:color w:val="555555"/>
          <w:sz w:val="18"/>
        </w:rPr>
        <w:t xml:space="preserve">Verordnung zur Änderung der Zuständigkeit der Studierendenwerke gemäß § 1 Absatz 3 des Studierendenwerksgesetzes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1. Januar 2025 in Kraft.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NW_34146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https://recht.nulegal.eu/gesetze/NW_34146/2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