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NW_34118 (Nordrhein-Westfalen) — Unanwendbarkeit der Verordnung, Übergangsregelung</w:t>
      </w:r>
    </w:p>
    <w:p>
      <w:r>
        <w:rPr>
          <w:color w:val="555555"/>
          <w:sz w:val="18"/>
        </w:rPr>
        <w:t xml:space="preserve">AsylZustVO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gilt nicht für Streitigkeiten nach dem Asylgesetz bezüglich der Herkunftsstaaten</w:t>
      </w:r>
    </w:p>
    <w:p>
      <w:r>
        <w:t xml:space="preserve">1. Ägypten,</w:t>
      </w:r>
    </w:p>
    <w:p>
      <w:r>
        <w:t xml:space="preserve">2. Afghanistan,</w:t>
      </w:r>
    </w:p>
    <w:p>
      <w:r>
        <w:t xml:space="preserve">3. Armenien,</w:t>
      </w:r>
    </w:p>
    <w:p>
      <w:r>
        <w:t xml:space="preserve">4. Aserbaidschan,</w:t>
      </w:r>
    </w:p>
    <w:p>
      <w:r>
        <w:t xml:space="preserve">5. Guinea,</w:t>
      </w:r>
    </w:p>
    <w:p>
      <w:r>
        <w:t xml:space="preserve">6. Irak ab dem 1. August 2025,</w:t>
      </w:r>
    </w:p>
    <w:p>
      <w:r>
        <w:t xml:space="preserve">7. Iran,</w:t>
      </w:r>
    </w:p>
    <w:p>
      <w:r>
        <w:t xml:space="preserve">8. Libanon,</w:t>
      </w:r>
    </w:p>
    <w:p>
      <w:r>
        <w:t xml:space="preserve">9. Nigeria,</w:t>
      </w:r>
    </w:p>
    <w:p>
      <w:r>
        <w:t xml:space="preserve">10. Nordmazedonien,</w:t>
      </w:r>
    </w:p>
    <w:p>
      <w:r>
        <w:t xml:space="preserve">11. Russische Föderation,</w:t>
      </w:r>
    </w:p>
    <w:p>
      <w:r>
        <w:t xml:space="preserve">12. Somalia,</w:t>
      </w:r>
    </w:p>
    <w:p>
      <w:r>
        <w:t xml:space="preserve">13. Syrien,</w:t>
      </w:r>
    </w:p>
    <w:p>
      <w:r>
        <w:t xml:space="preserve">14. Tadschikistan und</w:t>
      </w:r>
    </w:p>
    <w:p>
      <w:r>
        <w:t xml:space="preserve">15. Türkei.</w:t>
      </w:r>
    </w:p>
    <w:p>
      <w:r>
        <w:t xml:space="preserve">(2) Die im Zeitpunkt des Inkrafttretens dieser Verordnung anhängigen Verfahren, die einem Verwaltungsgericht nach den §§ 2 bis 8 zugewiesene Herkunftsstaaten betreffen, gehen mit dem Verfahrensstand, in dem sie sich befinden, auf das nach den §§ 2 bis 8 jeweils zuständige Verwaltungsgericht über. Dies gilt nicht für die in diesem Zeitpunkt anhängigen Verfahren, die die Herkunftsstaaten</w:t>
      </w:r>
    </w:p>
    <w:p>
      <w:r>
        <w:t xml:space="preserve">1. Georgien und</w:t>
      </w:r>
    </w:p>
    <w:p>
      <w:r>
        <w:t xml:space="preserve">2. Irak</w:t>
      </w:r>
    </w:p>
    <w:p>
      <w:r>
        <w:t xml:space="preserve">betreffen; für diese Verfahren verbleibt es bei der bis zum Inkrafttreten dieser Verordnung geltenden gesetzlichen Zuständigkeit der Verwaltungsgerichte. Satz 2 gilt entsprechend für die am 31. Dezember 2024 anhängigen Verfahren, die die Herkunftsstaaten</w:t>
      </w:r>
    </w:p>
    <w:p>
      <w:r>
        <w:t xml:space="preserve">1. Albanien,</w:t>
      </w:r>
    </w:p>
    <w:p>
      <w:r>
        <w:t xml:space="preserve">2. Algerien,</w:t>
      </w:r>
    </w:p>
    <w:p>
      <w:r>
        <w:t xml:space="preserve">3. Angola,</w:t>
      </w:r>
    </w:p>
    <w:p>
      <w:r>
        <w:t xml:space="preserve">4. Indien,</w:t>
      </w:r>
    </w:p>
    <w:p>
      <w:r>
        <w:t xml:space="preserve">5. Marokko,</w:t>
      </w:r>
    </w:p>
    <w:p>
      <w:r>
        <w:t xml:space="preserve">6. Pakistan und</w:t>
      </w:r>
    </w:p>
    <w:p>
      <w:r>
        <w:t xml:space="preserve">7. Serbien</w:t>
      </w:r>
    </w:p>
    <w:p>
      <w:r>
        <w:t xml:space="preserve">betreffen.</w:t>
      </w:r>
    </w:p>
    <w:p>
      <w:r>
        <w:rPr>
          <w:color w:val="555555"/>
          <w:sz w:val="17"/>
        </w:rPr>
        <w:t xml:space="preserve">Zitiervorschlag: § 9 NW_34118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https://recht.nulegal.eu/gesetze/NW_34118/9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NW_34118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