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NW_34118 (Nordrhein-Westfalen) — Zuständigkeit des Verwaltungsgerichts Münster</w:t>
      </w:r>
    </w:p>
    <w:p>
      <w:r>
        <w:rPr>
          <w:color w:val="555555"/>
          <w:sz w:val="18"/>
        </w:rPr>
        <w:t xml:space="preserve">AsylZustVO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Verwaltungsgericht Münster ist für Streitigkeiten nach dem Asylgesetz hinsichtlich folgender Herkunftsstaaten zuständig:</w:t>
      </w:r>
    </w:p>
    <w:p>
      <w:r>
        <w:t xml:space="preserve">1. Bangladesh,</w:t>
      </w:r>
    </w:p>
    <w:p>
      <w:r>
        <w:t xml:space="preserve">2. Indien bis zum 31. Dezember 2024,</w:t>
      </w:r>
    </w:p>
    <w:p>
      <w:r>
        <w:t xml:space="preserve">3. Myanmar und</w:t>
      </w:r>
    </w:p>
    <w:p>
      <w:r>
        <w:t xml:space="preserve">4. Sri Lanka.</w:t>
      </w:r>
    </w:p>
    <w:p>
      <w:r>
        <w:rPr>
          <w:color w:val="555555"/>
          <w:sz w:val="17"/>
        </w:rPr>
        <w:t xml:space="preserve">Zitiervorschlag: § 8 NW_34118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https://recht.nulegal.eu/gesetze/NW_34118/8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