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NW_34118 (Nordrhein-Westfalen) — Zuständigkeit des Verwaltungsgerichts Aachen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Verwaltungsgericht Aachen ist für Streitigkeiten nach dem Asylgesetz hinsichtlich folgender Herkunftsstaaten zuständig:</w:t>
      </w:r>
    </w:p>
    <w:p>
      <w:r>
        <w:t xml:space="preserve">1. Äthiopien,</w:t>
      </w:r>
    </w:p>
    <w:p>
      <w:r>
        <w:t xml:space="preserve">2. Burundi,</w:t>
      </w:r>
    </w:p>
    <w:p>
      <w:r>
        <w:t xml:space="preserve">3. Dschibuti,</w:t>
      </w:r>
    </w:p>
    <w:p>
      <w:r>
        <w:t xml:space="preserve">4. Eritrea,</w:t>
      </w:r>
    </w:p>
    <w:p>
      <w:r>
        <w:t xml:space="preserve">5. Kenia,</w:t>
      </w:r>
    </w:p>
    <w:p>
      <w:r>
        <w:t xml:space="preserve">6. Ruanda,</w:t>
      </w:r>
    </w:p>
    <w:p>
      <w:r>
        <w:t xml:space="preserve">7. Sudan,</w:t>
      </w:r>
    </w:p>
    <w:p>
      <w:r>
        <w:t xml:space="preserve">8. Südsudan,</w:t>
      </w:r>
    </w:p>
    <w:p>
      <w:r>
        <w:t xml:space="preserve">9. Tansania, Vereinigte Republik, und</w:t>
      </w:r>
    </w:p>
    <w:p>
      <w:r>
        <w:t xml:space="preserve">10. Uganda.</w:t>
      </w:r>
    </w:p>
    <w:p>
      <w:r>
        <w:rPr>
          <w:color w:val="555555"/>
          <w:sz w:val="17"/>
        </w:rPr>
        <w:t xml:space="preserve">Zitiervorschlag: § 2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