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NW_34113 (Nordrhein-Westfalen) — Höhe des erstattungsfähigen Aufwandes</w:t>
      </w:r>
    </w:p>
    <w:p>
      <w:r>
        <w:rPr>
          <w:color w:val="555555"/>
          <w:sz w:val="18"/>
        </w:rPr>
        <w:t xml:space="preserve">Straßenausbaubeitrag-Erstattungsverordnung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Erstattet wird der nach der Anlage maßgebliche Prozentsatz des nach § 2 ermittelten Aufwandes.</w:t>
      </w:r>
    </w:p>
    <w:p>
      <w:r>
        <w:rPr>
          <w:color w:val="555555"/>
          <w:sz w:val="17"/>
        </w:rPr>
        <w:t xml:space="preserve">Zitiervorschlag: § 4 NW_34113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