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NW_34105 (Nordrhein-Westfalen) — Qualifizierung und Aufstiegslehrgang</w:t>
      </w:r>
    </w:p>
    <w:p>
      <w:r>
        <w:rPr>
          <w:color w:val="555555"/>
          <w:sz w:val="18"/>
        </w:rPr>
        <w:t xml:space="preserve">QualiAufLG2.1Justiz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Qualifizierung und der Aufstiegslehrgang dauern zusammen 13 Monate.</w:t>
      </w:r>
    </w:p>
    <w:p>
      <w:r>
        <w:t xml:space="preserve">(2) Die Qualifizierung dauert zehn Monate und besteht aus:</w:t>
      </w:r>
    </w:p>
    <w:p>
      <w:r>
        <w:t xml:space="preserve">1. einer einen Monat dauernden exemplarischen praktischen Einweisung in Aufgaben der Ämter der Laufbahngruppe 2, 1. Einstiegsamt des Justizdienstes,</w:t>
      </w:r>
    </w:p>
    <w:p>
      <w:r>
        <w:t xml:space="preserve">2. einem durch das Ausbildungszentrum der Justiz Nordrhein-Westfalen durchzuführenden dreimonatigen Einführungslehrgang und</w:t>
      </w:r>
    </w:p>
    <w:p>
      <w:r>
        <w:t xml:space="preserve">3. einer sechs Monate dauernden praktischen Einweisung in Aufgaben der Ämter der Laufbahngruppe 2, 1. Einstiegsamt des Justizdienstes, die nicht Rechtspflegeraufgaben sind.</w:t>
      </w:r>
    </w:p>
    <w:p>
      <w:r>
        <w:t xml:space="preserve">(3) Der Aufstiegslehrgang dauert drei Monate; er wird durch das Ausbildungszentrum der Justiz durchgeführt.</w:t>
      </w:r>
    </w:p>
    <w:p>
      <w:r>
        <w:t xml:space="preserve">(4) Während des Einführungs- und Aufstiegslehrgangs soll Erholungsurlaub nicht gewährt werden.</w:t>
      </w:r>
    </w:p>
    <w:p>
      <w:r>
        <w:t xml:space="preserve">(5) Während der Qualifizierung und im Aufstiegslehrgang sind zu vermitteln:</w:t>
      </w:r>
    </w:p>
    <w:p>
      <w:r>
        <w:t xml:space="preserve">1. gründliche Kenntnisse</w:t>
      </w:r>
    </w:p>
    <w:p>
      <w:r>
        <w:t xml:space="preserve">a) im Allgemeinen Verwaltungsrecht,</w:t>
      </w:r>
    </w:p>
    <w:p>
      <w:r>
        <w:t xml:space="preserve">b) im Beamtenrecht,</w:t>
      </w:r>
    </w:p>
    <w:p>
      <w:r>
        <w:t xml:space="preserve">c) im Arbeits- und Tarifrecht,</w:t>
      </w:r>
    </w:p>
    <w:p>
      <w:r>
        <w:t xml:space="preserve">d) im Haushaltsrecht,</w:t>
      </w:r>
    </w:p>
    <w:p>
      <w:r>
        <w:t xml:space="preserve">e) auf dem Gebiet der Geschäftsgangsbestimmungen für die Justizverwaltung und</w:t>
      </w:r>
    </w:p>
    <w:p>
      <w:r>
        <w:t xml:space="preserve">f) im Kostenrecht sowie</w:t>
      </w:r>
    </w:p>
    <w:p>
      <w:r>
        <w:t xml:space="preserve">2. Kenntnisse der Grundzüge</w:t>
      </w:r>
    </w:p>
    <w:p>
      <w:r>
        <w:t xml:space="preserve">a) des Staats- und Verfassungsrechts,</w:t>
      </w:r>
    </w:p>
    <w:p>
      <w:r>
        <w:t xml:space="preserve">b) des Gerichtsverfassungs- und Verfahrensrechts, insbesondere des Zivil- und Strafprozessrechts,</w:t>
      </w:r>
    </w:p>
    <w:p>
      <w:r>
        <w:t xml:space="preserve">c) des Reisekosten- und Umzugskostenrechts,</w:t>
      </w:r>
    </w:p>
    <w:p>
      <w:r>
        <w:t xml:space="preserve">d) der Bestimmungen zur Entlastung der Staatsanwältinnen und Staatsanwälte und</w:t>
      </w:r>
    </w:p>
    <w:p>
      <w:r>
        <w:t xml:space="preserve">e) des Schwerbehinderten- und Personalvertretungsrechts.</w:t>
      </w:r>
    </w:p>
    <w:p>
      <w:r>
        <w:t xml:space="preserve">Die Vermittlung dieser Grundzüge kann im Einführungslehrgang erfolgen.</w:t>
      </w:r>
    </w:p>
    <w:p>
      <w:r>
        <w:rPr>
          <w:color w:val="555555"/>
          <w:sz w:val="17"/>
        </w:rPr>
        <w:t xml:space="preserve">Zitiervorschlag: § 2 NW_34105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