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NW_34103 (Nordrhein-Westfalen)</w:t>
      </w:r>
    </w:p>
    <w:p>
      <w:r>
        <w:rPr>
          <w:color w:val="555555"/>
          <w:sz w:val="18"/>
        </w:rPr>
        <w:t xml:space="preserve">EStGemAntVO 2024, 2025 und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über die Aufteilung und Auszahlung des Gemeindeanteils an der Einkommensteuer</w:t>
      </w:r>
    </w:p>
    <w:p>
      <w:r>
        <w:t xml:space="preserve">und die Abführung der Gewerbesteuerumlage für die Haushaltsjahre 2024, 2025 und 2026</w:t>
      </w:r>
    </w:p>
    <w:p>
      <w:r>
        <w:t xml:space="preserve">(EStGemAntVO 2024, 2025 und 2026)</w:t>
      </w:r>
    </w:p>
    <w:p>
      <w:r>
        <w:t xml:space="preserve">Vom 4. Juni 2024</w:t>
      </w:r>
    </w:p>
    <w:p>
      <w:r>
        <w:t xml:space="preserve">Auf Grund des § 2, des § 4 Absatz 2, des § 5 und des § 6 Absatz 8 des Gemeindefinanzreformgesetzes in der Fassung der Bekanntmachung vom 10. März 2009 (BGBl. I S. 502), von denen § 6 Absatz 8 durch Artikel 4 Nummer 2 des Gesetzes vom 4. Dezember 2022 (BGBl. I S. 2142) neu gefasst worden ist, verordnet die Landesregierung:</w:t>
      </w:r>
    </w:p>
    <w:p>
      <w:r>
        <w:rPr>
          <w:color w:val="555555"/>
          <w:sz w:val="17"/>
        </w:rPr>
        <w:t xml:space="preserve">Zitiervorschlag: Volltext NW_34103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https://recht.nulegal.eu/gesetze/NW_34103/volltext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