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NW_34103 (Nordrhein-Westfalen) — Bekanntgabe</w:t>
      </w:r>
    </w:p>
    <w:p>
      <w:r>
        <w:rPr>
          <w:color w:val="555555"/>
          <w:sz w:val="18"/>
        </w:rPr>
        <w:t xml:space="preserve">EStGemAntVO 2024, 2025 und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Finanzen zuständige Ministerium gibt den auf die Gemeinden entfallenden Anteil an der Einkommensteuer für die in § 2 Absatz 3 benannten Zeiträume durch Runderlass bekannt.</w:t>
      </w:r>
    </w:p>
    <w:p>
      <w:r>
        <w:t xml:space="preserve">(2) Jede Gemeinde erhält über den auf sie entfallenden Gemeindeanteil an der Einkommensteuer für die in § 2 Absatz 3 benannten Zeiträume eine Mitteilung. Die Mitteilungen sind von IT. NRW maschinell zu erstellen und den Gemeinden rechtzeitig vor den in § 2 Absatz 3 festgelegten Terminen zuzuleiten.</w:t>
      </w:r>
    </w:p>
    <w:p>
      <w:r>
        <w:rPr>
          <w:color w:val="555555"/>
          <w:sz w:val="17"/>
        </w:rPr>
        <w:t xml:space="preserve">Zitiervorschlag: § 5 NW_34103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https://recht.nulegal.eu/gesetze/NW_34103/5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