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NW_34061 (Nordrhein-Westfalen)</w:t>
      </w:r>
    </w:p>
    <w:p>
      <w:r>
        <w:rPr>
          <w:color w:val="555555"/>
          <w:sz w:val="18"/>
        </w:rPr>
        <w:t xml:space="preserve">BARL-BauO-VO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12. März 2024</w:t>
      </w:r>
    </w:p>
    <w:p>
      <w:r>
        <w:t xml:space="preserve">Auf Grund des § 87 Absatz 2b der Landesbauordnung 2018 vom 21. Juli 2018 (GV. NRW. S. 421), die zuletzt durch Gesetz vom 31. Oktober 2023 (GV. NRW. S. 1172) geändert worden ist, verordnet das Ministerium für Heimat, Kommunales, Bau und Digitalisierung des Landes Nordrhein-Westfalen:</w:t>
      </w:r>
    </w:p>
    <w:p>
      <w:r>
        <w:rPr>
          <w:color w:val="555555"/>
          <w:sz w:val="17"/>
        </w:rPr>
        <w:t xml:space="preserve">Zitiervorschlag: Volltext NW_34061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https://recht.nulegal.eu/gesetze/NW_34061/volltext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NW_34061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