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NW_34061 (Nordrhein-Westfalen) — Mitgliedschaft in der Ingenieurkammer-Bau Nordrhein-Westfalen</w:t>
      </w:r>
    </w:p>
    <w:p>
      <w:r>
        <w:rPr>
          <w:color w:val="555555"/>
          <w:sz w:val="18"/>
        </w:rPr>
        <w:t xml:space="preserve">BARL-BauO-VO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Eintragung in die Liste werden die eingetragenen Personen Mitglied der Ingenieurkammer-Bau Nordrhein-Westfalen soweit ihre Mitgliedschaft nicht nach § 1 Absatz 5 des Baukammerngesetzes begründet werden kann.</w:t>
      </w:r>
    </w:p>
    <w:p>
      <w:r>
        <w:rPr>
          <w:color w:val="555555"/>
          <w:sz w:val="17"/>
        </w:rPr>
        <w:t xml:space="preserve">Zitiervorschlag: § 5 NW_34061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https://recht.nulegal.eu/gesetze/NW_34061/5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