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NW_34056 (Nordrhein-Westfalen) — Deckung der Schuldverschreibungen</w:t>
      </w:r>
    </w:p>
    <w:p>
      <w:r>
        <w:rPr>
          <w:color w:val="555555"/>
          <w:sz w:val="18"/>
        </w:rPr>
        <w:t xml:space="preserve">Satzung der NRW.BANK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im Umlauf befindlichen oder neu auszugebenden Pfandbriefe und sonstigen Schuldverschreibungen der NRW.BANK, die unter das Pfandbriefgesetz vom 22. Mai 2005 (BGBl. I S. 1373), das zuletzt durch Artikel 9 des Gesetzes vom 22. Dezember 2023 (BGBl. 2023 I Nr. 411) geändert worden ist, fallen, müssen den Vorschriften dieses Gesetzes entsprechend gedeckt sein.</w:t>
      </w:r>
    </w:p>
    <w:p>
      <w:r>
        <w:rPr>
          <w:color w:val="555555"/>
          <w:sz w:val="17"/>
        </w:rPr>
        <w:t xml:space="preserve">Zitiervorschlag: § 6 NW_34056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https://recht.nulegal.eu/gesetze/NW_34056/6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