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NW_34056 (Nordrhein-Westfalen) — Dienstherreneigenschaft</w:t>
      </w:r>
    </w:p>
    <w:p>
      <w:r>
        <w:rPr>
          <w:color w:val="555555"/>
          <w:sz w:val="18"/>
        </w:rPr>
        <w:t xml:space="preserve">Satzung der NRW.BANK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Beamtinnen und Beamte können zur NRW.BANK versetzt werden. Weitere Regelungen zur näheren Ausgestaltung des Beamtenverhältnisses können im Rahmen der beamtenrechtlichen Vorschriften durch Satzung getroffen werden.</w:t>
      </w:r>
    </w:p>
    <w:p>
      <w:r>
        <w:rPr>
          <w:color w:val="555555"/>
          <w:sz w:val="17"/>
        </w:rPr>
        <w:t xml:space="preserve">Zitiervorschlag: § 35 NW_34056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https://recht.nulegal.eu/gesetze/NW_34056/35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