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NW_34056 (Nordrhein-Westfalen) — Genehmigung und Bekanntmachung der Satzung und deren Änderungen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und deren Änderungen bedürfen der Genehmigung der Aufsichtsbehörde.</w:t>
      </w:r>
    </w:p>
    <w:p>
      <w:r>
        <w:t xml:space="preserve">(2) Die Satzung und deren Änderungen werden im Gesetz- und Verordnungsblatt für das Land Nordrhein- Westfalen bekannt gemacht.</w:t>
      </w:r>
    </w:p>
    <w:p>
      <w:r>
        <w:rPr>
          <w:color w:val="555555"/>
          <w:sz w:val="17"/>
        </w:rPr>
        <w:t xml:space="preserve">Zitiervorschlag: § 33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