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NW_34056 (Nordrhein-Westfalen) — Sonstige Ausschüsse des Verwaltungsrats</w:t>
      </w:r>
    </w:p>
    <w:p>
      <w:r>
        <w:rPr>
          <w:color w:val="555555"/>
          <w:sz w:val="18"/>
        </w:rPr>
        <w:t xml:space="preserve">Satzung der NRW.BANK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Verwaltungsrat kann aus dem Kreis seiner Mitglieder sonstige Ausschüsse bilden.</w:t>
      </w:r>
    </w:p>
    <w:p>
      <w:r>
        <w:t xml:space="preserve">(2) Zusammensetzung und Zuständigkeit der Ausschüsse werden durch Geschäftsordnungen geregelt.</w:t>
      </w:r>
    </w:p>
    <w:p>
      <w:r>
        <w:t xml:space="preserve">(3) Der Vorstand nimmt an den Sitzungen der sonstigen Ausschüsse teil. Die Regelung des § 14 Absatz 7 Satz 2 gilt entsprechend.</w:t>
      </w:r>
    </w:p>
    <w:p>
      <w:r>
        <w:rPr>
          <w:color w:val="555555"/>
          <w:sz w:val="17"/>
        </w:rPr>
        <w:t xml:space="preserve">Zitiervorschlag: § 22 NW_34056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https://recht.nulegal.eu/gesetze/NW_34056/22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