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NW_34056 (Nordrhein-Westfalen) — Vergütungskontrollausschuss</w:t>
      </w:r>
    </w:p>
    <w:p>
      <w:r>
        <w:rPr>
          <w:color w:val="555555"/>
          <w:sz w:val="18"/>
        </w:rPr>
        <w:t xml:space="preserve">Satzung der NRW.BANK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bildet aus dem Kreis der Mitglieder einen Vergütungskontrollausschuss. Er besteht aus folgenden Mitgliedern:</w:t>
      </w:r>
    </w:p>
    <w:p>
      <w:r>
        <w:t xml:space="preserve">a) den Mitgliedern des Verwaltungsrats gemäß § 12 Absatz 1 Satz 1 Buchstabe a bis c, darunter die oder der Vorsitzende des Verwaltungsrats als Vorsitzende oder Vorsitzender des Vergütungskontrollausschusses,</w:t>
      </w:r>
    </w:p>
    <w:p>
      <w:r>
        <w:t xml:space="preserve">b) zwei Mitgliedern, die von den Vertreterinnen oder den Vertretern der Beschäftigten gemäß § 12 Absatz 1 Satz 1 Buchstabe e aus ihrem Kreis gewählt werden und</w:t>
      </w:r>
    </w:p>
    <w:p>
      <w:r>
        <w:t xml:space="preserve">c) einem weiteren vom Gewährträger entsandten Mitglied.</w:t>
      </w:r>
    </w:p>
    <w:p>
      <w:r>
        <w:t xml:space="preserve">(2) Der Vergütungskontrollausschuss hält mindestens einmal jährlich und bei Bedarf Sitzungen ab. Er hat insbesondere die ihm nach dem Kreditwesengesetz übertragenen Aufgaben wahrzunehmen. Weitere Einzelheiten regelt die Geschäftsordnung des Vergütungskontrollausschusses.</w:t>
      </w:r>
    </w:p>
    <w:p>
      <w:r>
        <w:t xml:space="preserve">(3) Die oder der Vorsitzende des Vorstands und die Stellvertreterin oder Stellvertreterinnen oder der Stellvertreter oder die Stellvertreter in diesem Amt nehmen an den Sitzungen des Vergütungskontrollausschusses teil. Die Regelung des § 14 Absatz 7 Satz 2 gilt entsprechend. Vorstandsmitglieder dürfen nicht an der Sitzung des Vergütungskontrollausschusses teilnehmen, bei denen über ihre Vergütung beraten wird.</w:t>
      </w:r>
    </w:p>
    <w:p>
      <w:r>
        <w:rPr>
          <w:color w:val="555555"/>
          <w:sz w:val="17"/>
        </w:rPr>
        <w:t xml:space="preserve">Zitiervorschlag: § 20 NW_34056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https://recht.nulegal.eu/gesetze/NW_34056/20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