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NW_34056 (Nordrhein-Westfalen) — Zustimmungsvorbehalt der Gewährträgerversammlung</w:t>
      </w:r>
    </w:p>
    <w:p>
      <w:r>
        <w:rPr>
          <w:color w:val="555555"/>
          <w:sz w:val="18"/>
        </w:rPr>
        <w:t xml:space="preserve">Satzung der NRW.BANK</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Stimmrechte der NRW.BANK in der Hauptversammlung der Portigon AG dürfen von der NRW.BANK in ihrer Eigenschaft als Aktionärin der Portigon AG nur ausgeübt werden, wenn zuvor die Gewährträgerversammlung der NRW.BANK hierzu ihre Zustimmung erteilt hat.</w:t>
      </w:r>
    </w:p>
    <w:p>
      <w:r>
        <w:rPr>
          <w:color w:val="555555"/>
          <w:sz w:val="17"/>
        </w:rPr>
        <w:t xml:space="preserve">Zitiervorschlag: § 11 NW_34056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https://recht.nulegal.eu/gesetze/NW_34056/11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