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NW_34056 (Nordrhein-Westfalen) — Name, Rechtsform, Sitz</w:t>
      </w:r>
    </w:p>
    <w:p>
      <w:r>
        <w:rPr>
          <w:color w:val="555555"/>
          <w:sz w:val="18"/>
        </w:rPr>
        <w:t xml:space="preserve">Satzung der NRW.BANK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NRW.BANK ist ein Kreditinstitut in der Rechtsform einer Anstalt des öffentlichen Rechts. Sie besitzt Rechtsfähigkeit kraft Gesetzes.</w:t>
      </w:r>
    </w:p>
    <w:p>
      <w:r>
        <w:t xml:space="preserve">(2) Die NRW.BANK hat ihren Sitz in Düsseldorf und Münster. Sie kann Niederlassungen errichten.</w:t>
      </w:r>
    </w:p>
    <w:p>
      <w:r>
        <w:t xml:space="preserve">(3) Die NRW.BANK führt ein Siegel mit den Worten in der Inschrift „NRW.BANK Düsseldorf/Münster“.</w:t>
      </w:r>
    </w:p>
    <w:p>
      <w:r>
        <w:rPr>
          <w:color w:val="555555"/>
          <w:sz w:val="17"/>
        </w:rPr>
        <w:t xml:space="preserve">Zitiervorschlag: § 1 NW_34056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https://recht.nulegal.eu/gesetze/NW_34056/1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