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NW_34049 (Nordrhein-Westfalen) — Technisch-organisatorischer Datenschutz</w:t>
      </w:r>
    </w:p>
    <w:p>
      <w:r>
        <w:rPr>
          <w:color w:val="555555"/>
          <w:sz w:val="18"/>
        </w:rPr>
        <w:t xml:space="preserve">WDR-Beitragssatzung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ist sicherzustellen, dass bei der in § 2 genannten gemeinsamen Stelle ein wirksames und übergreifendes Informationssicherheits-Managementsystem installiert und die Löschung der Daten von Rundfunkteilnehmern und Beitragsschuldnern nach einem einheitlichen Konzept geregelt wird.</w:t>
      </w:r>
    </w:p>
    <w:p>
      <w:r>
        <w:rPr>
          <w:color w:val="555555"/>
          <w:sz w:val="17"/>
        </w:rPr>
        <w:t xml:space="preserve">Zitiervorschlag: § 9 NW_34049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https://recht.nulegal.eu/gesetze/NW_34049/9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