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NW_34049 (Nordrhein-Westfalen) — Datenerhebung bei nichtöffentlichen Stellen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Rundfunkanstalt oder die in § 2 genannte gemeinsame Stelle darf ein Auskunftsverlangen an die in § 9 Abs. 1 Satz 2 RBStV genannten Personen nur richten, wenn ein vorheriges Auskunftsverlangen unmittelbar beim Betroffenen nach § 9 Abs. 1 Satz 1 RBStV und eine Anfrage bei der Meldebehörde oder dem maßgeblichen öffentlichen Register nach § 11 Abs. 4 Satz 2 und 3 RBStV erfolglos geblieben ist oder nicht möglich war. Die Auskunft ist schriftlich zu erteilen und auf die Daten nach § 8 Abs. 4 Nr. 3 RBStV der jeweiligen Inhaber der Betriebsstätte beschränkt.</w:t>
      </w:r>
    </w:p>
    <w:p>
      <w:r>
        <w:t xml:space="preserve">(2) Vorbehaltlich der Regelungen in Absatz 1 darf die Rundfunkanstalt oder die in § 2 genannte gemeinsame Stelle als nichtöffentliche Stelle nur Unternehmen des Adresshandels und der Adressverifizierung um die Übermittlung personenbezogener Daten gemäß § 11 Abs. 4 RBStV im Rahmen der dort in Satz 5 genannten Beschränkungen ersuchen. § 7 Abs. 2 Nr. 1 gilt entsprechend.</w:t>
      </w:r>
    </w:p>
    <w:p>
      <w:r>
        <w:t xml:space="preserve">(3) § 14 Abs. 9 RBStV ist zu beachten.</w:t>
      </w:r>
    </w:p>
    <w:p>
      <w:r>
        <w:rPr>
          <w:color w:val="555555"/>
          <w:sz w:val="17"/>
        </w:rPr>
        <w:t xml:space="preserve">Zitiervorschlag: § 8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