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NW_34049 (Nordrhein-Westfalen) — Anzeigen, Formulare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Anzeigen über Beginn und Ende des Innehabens einer Wohnung, einer Betriebsstätte oder eines beitragspflichtigen Kraftfahrzeuges sind unverzüglich schriftlich gemäß § 126 Abs. 1, 3 und 4 Bürgerliches Gesetzbuch, § 3a Verwaltungsverfahrensgesetz des Bundes der in § 2 genannten gemeinsamen Stelle zuzuleiten. Dies gilt auch für die Anzeige eines Wohnungswechsels sowie für jede Änderung der Daten nach § 8 Abs. 4 und 5 RBStV.</w:t>
      </w:r>
    </w:p>
    <w:p>
      <w:r>
        <w:t xml:space="preserve">(2) Für die Anzeigen sollen die dafür vorgesehenen Formulare verwendet werden. Die Formulare werden im Internet für jedermann zugänglich gemacht und auf Anforderung kostenfrei zugesandt.</w:t>
      </w:r>
    </w:p>
    <w:p>
      <w:r>
        <w:t xml:space="preserve">(3) Den Beitragsschuldner trifft die Beweislast für den Zugang einer Anzeige im Sinne von Absatz 1 bei der in § 2 genannten gemeinsamen Stelle.</w:t>
      </w:r>
    </w:p>
    <w:p>
      <w:r>
        <w:rPr>
          <w:color w:val="555555"/>
          <w:sz w:val="17"/>
        </w:rPr>
        <w:t xml:space="preserve">Zitiervorschlag: § 3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