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NW_34049 (Nordrhein-Westfalen) — Inkrafttreten, Außerkrafttreten</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mit Wirkung vom 1.1.2024 in Kraft. Gleichzeitig tritt die Beitragssatzung vom 15.2.2017 (GV. NRW. S. 316) außer Kraft. Die Vorschriften der Bekanntmachung der Satzung über das Verfahren zur Leistung der Rundfunkgebühren des Westdeutschen Rundfunks Köln vom 18.11.1993 (GV. NRW. 1994 S. 245), die zuletzt durch Satzung vom 3.6.2002 (GV. NRW. S. 239) geändert worden ist, bleiben nur noch auf Sachverhalte anwendbar, nach denen bis zum 31.12.2012 noch keine Rundfunkgebühren entrichtet oder erstattet wurden.</w:t>
      </w:r>
    </w:p>
    <w:p>
      <w:r>
        <w:t xml:space="preserve">Tom B u h r o w</w:t>
      </w:r>
    </w:p>
    <w:p>
      <w:r>
        <w:t xml:space="preserve">Intendant</w:t>
      </w:r>
    </w:p>
    <w:p>
      <w:r>
        <w:rPr>
          <w:color w:val="555555"/>
          <w:sz w:val="17"/>
        </w:rPr>
        <w:t xml:space="preserve">Zitiervorschlag: § 18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