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NW_34049 (Nordrhein-Westfalen) — Übergangsvorschriften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der Grundlage des Rundfunkgebührenstaatsvertrages bei der Gebühreneinzugszentrale – GEZ – bestehende Teilnehmernummern werden ab dem 1.1.2013 bei der in § 2 genannten gemeinsamen Stelle als Beitragsnummern fortgeführt.</w:t>
      </w:r>
    </w:p>
    <w:p>
      <w:r>
        <w:t xml:space="preserve">(2) Eine der Gebühreneinzugszentrale – GEZ – erteilte Ermächtigung zum Einzug geschuldeter Rundfunkgebühren mittels Lastschrift oder SEPA-Basislastschrift berechtigt die Rundfunkanstalt nach dem 1.1.2013 auch zum Einzug geschuldeter Rundfunkbeiträge mittels SEPA-Basislastschrift.</w:t>
      </w:r>
    </w:p>
    <w:p>
      <w:r>
        <w:rPr>
          <w:color w:val="555555"/>
          <w:sz w:val="17"/>
        </w:rPr>
        <w:t xml:space="preserve">Zitiervorschlag: § 17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