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NW_34049 (Nordrhein-Westfalen) — Verrechnung</w:t>
      </w:r>
    </w:p>
    <w:p>
      <w:r>
        <w:rPr>
          <w:color w:val="555555"/>
          <w:sz w:val="18"/>
        </w:rPr>
        <w:t xml:space="preserve">WDR-Beitragssatzung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Zahlungen werden jeweils mit der ältesten Rundfunkbeitragsschuld verrechnet. Ansprüche der Rundfunkanstalt</w:t>
      </w:r>
    </w:p>
    <w:p>
      <w:r>
        <w:t xml:space="preserve">1. auf Erstattung von Vollstreckungskosten,</w:t>
      </w:r>
    </w:p>
    <w:p>
      <w:r>
        <w:t xml:space="preserve">2. auf Erstattung von Kosten nach § 10 Abs. 3,</w:t>
      </w:r>
    </w:p>
    <w:p>
      <w:r>
        <w:t xml:space="preserve">3. auf Erstattung von Kosten nach § 11 Abs. 2,</w:t>
      </w:r>
    </w:p>
    <w:p>
      <w:r>
        <w:t xml:space="preserve">4. auf Mahngebühren,</w:t>
      </w:r>
    </w:p>
    <w:p>
      <w:r>
        <w:t xml:space="preserve">5. auf Säumniszuschläge,</w:t>
      </w:r>
    </w:p>
    <w:p>
      <w:r>
        <w:t xml:space="preserve">6. auf Zinsen</w:t>
      </w:r>
    </w:p>
    <w:p>
      <w:r>
        <w:t xml:space="preserve">werden jeweils dem Beitragszeitraum nach § 7 Abs. 3 Satz 2 RBStV zugeordnet und in der genannten Reihenfolge jeweils im Rang vor der jeweiligen Rundfunkbeitragsschuld verrechnet. Die Sätze 1 und 2 gelten auch dann, wenn der Beitragsschuldner eine andere Bestimmung trifft.</w:t>
      </w:r>
    </w:p>
    <w:p>
      <w:r>
        <w:rPr>
          <w:color w:val="555555"/>
          <w:sz w:val="17"/>
        </w:rPr>
        <w:t xml:space="preserve">Zitiervorschlag: § 13 NW_34049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https://recht.nulegal.eu/gesetze/NW_34049/13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