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NW_34024 (Nordrhein-Westfalen)</w:t>
      </w:r>
    </w:p>
    <w:p>
      <w:r>
        <w:rPr>
          <w:color w:val="555555"/>
          <w:sz w:val="18"/>
        </w:rPr>
        <w:t xml:space="preserve">BürgEnG-ZustVO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15. Februar 2024</w:t>
      </w:r>
    </w:p>
    <w:p>
      <w:r>
        <w:t xml:space="preserve">Auf Grund des § 5 Absatz 2 des Landesorganisationsgesetzes vom 10. Juli 1962 (GV. NRW. S. 421), der durch Gesetz vom 21. Dezember 1976 (GV. NRW. S. 438) neu gefasst worden ist, in Verbindung mit § 12 Absatz 1 Satz 2 des Bürgerenergiegesetzes NRW vom 19. Dezember 2023 (GV. NRW. S. 1386) verordnet das Ministerium für Wirtschaft, Industrie, Klimaschutz und Energie:</w:t>
      </w:r>
    </w:p>
    <w:p>
      <w:r>
        <w:rPr>
          <w:color w:val="555555"/>
          <w:sz w:val="17"/>
        </w:rPr>
        <w:t xml:space="preserve">Zitiervorschlag: Volltext NW_34024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https://recht.nulegal.eu/gesetze/NW_34024/volltext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