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NW_33953 (Nordrhein-Westfalen)</w:t>
      </w:r>
    </w:p>
    <w:p>
      <w:r>
        <w:rPr>
          <w:color w:val="555555"/>
          <w:sz w:val="18"/>
        </w:rPr>
        <w:t xml:space="preserve">GV. NRW. S. 574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 nach der Verkündung in Kraft.</w:t>
      </w:r>
    </w:p>
    <w:p>
      <w:r>
        <w:t xml:space="preserve">Die Landesregierung Nordrhein-Westfalen</w:t>
      </w:r>
    </w:p>
    <w:p>
      <w:r>
        <w:t xml:space="preserve">Der Ministerpräsident</w:t>
      </w:r>
    </w:p>
    <w:p>
      <w:r>
        <w:t xml:space="preserve">Der Minister der Finanzen</w:t>
      </w:r>
    </w:p>
    <w:p>
      <w:r>
        <w:rPr>
          <w:color w:val="555555"/>
          <w:sz w:val="17"/>
        </w:rPr>
        <w:t xml:space="preserve">Zitiervorschlag: § 2 NW_33953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https://recht.nulegal.eu/gesetze/NW_33953/2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