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NW_33952 (Nordrhein-Westfalen) — Inkrafttreten, Berichtspflicht</w:t>
      </w:r>
    </w:p>
    <w:p>
      <w:r>
        <w:rPr>
          <w:color w:val="555555"/>
          <w:sz w:val="18"/>
        </w:rPr>
        <w:t xml:space="preserve">Verordnung zur Bestimmung der lebens- oder verteidigungswichtigen Einrichtungen im Geschäftsbereich des Ministeriums für Heimat, Kommunales, Bau und Digitalisierung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Heimat, Kommunales, Bau und Digitalisierung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NW_33952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https://recht.nulegal.eu/gesetze/NW_33952/2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